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BD8" w:rsidRDefault="00480BD8" w:rsidP="00A65673">
      <w:pPr>
        <w:spacing w:after="0" w:line="240" w:lineRule="auto"/>
        <w:rPr>
          <w:b/>
          <w:sz w:val="32"/>
        </w:rPr>
      </w:pPr>
      <w:r>
        <w:rPr>
          <w:b/>
          <w:sz w:val="32"/>
        </w:rPr>
        <w:t>Kaiser Permanente Mid- Atlantic States (KPMAS) APPE Rotation Application</w:t>
      </w:r>
    </w:p>
    <w:p w:rsidR="00480BD8" w:rsidRDefault="00480BD8" w:rsidP="00A65673">
      <w:pPr>
        <w:spacing w:after="0" w:line="240" w:lineRule="auto"/>
        <w:rPr>
          <w:b/>
          <w:sz w:val="32"/>
        </w:rPr>
      </w:pPr>
    </w:p>
    <w:p w:rsidR="00250290" w:rsidRDefault="00250290" w:rsidP="00250290">
      <w:pPr>
        <w:autoSpaceDE w:val="0"/>
        <w:autoSpaceDN w:val="0"/>
        <w:adjustRightInd w:val="0"/>
        <w:rPr>
          <w:rFonts w:ascii="Helv" w:hAnsi="Helv" w:cs="Helv"/>
          <w:color w:val="000000"/>
          <w:sz w:val="20"/>
          <w:szCs w:val="20"/>
        </w:rPr>
      </w:pPr>
      <w:r>
        <w:rPr>
          <w:rFonts w:ascii="Helv" w:hAnsi="Helv" w:cs="Helv"/>
          <w:color w:val="000000"/>
          <w:sz w:val="20"/>
          <w:szCs w:val="20"/>
        </w:rPr>
        <w:t>A few items for students to take special note of:</w:t>
      </w:r>
    </w:p>
    <w:p w:rsidR="00250290" w:rsidRDefault="00250290" w:rsidP="00250290">
      <w:pPr>
        <w:pStyle w:val="ListParagraph"/>
        <w:numPr>
          <w:ilvl w:val="0"/>
          <w:numId w:val="1"/>
        </w:num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Students should read the </w:t>
      </w:r>
      <w:r>
        <w:rPr>
          <w:rFonts w:ascii="Helv" w:hAnsi="Helv" w:cs="Helv"/>
          <w:color w:val="000000"/>
          <w:sz w:val="20"/>
          <w:szCs w:val="20"/>
        </w:rPr>
        <w:t xml:space="preserve">My Clinical Exchange </w:t>
      </w:r>
      <w:r>
        <w:rPr>
          <w:rFonts w:ascii="Helv" w:hAnsi="Helv" w:cs="Helv"/>
          <w:color w:val="000000"/>
          <w:sz w:val="20"/>
          <w:szCs w:val="20"/>
        </w:rPr>
        <w:t>instruction sheet carefully, it will walk them through the process step by step and answer any questions they have along the way. They should not reach out with questions without reading the document first.</w:t>
      </w:r>
    </w:p>
    <w:p w:rsidR="00250290" w:rsidRDefault="00250290" w:rsidP="00250290">
      <w:pPr>
        <w:pStyle w:val="ListParagraph"/>
        <w:numPr>
          <w:ilvl w:val="0"/>
          <w:numId w:val="1"/>
        </w:num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All applications are due through the myClinicalExchange system by </w:t>
      </w:r>
      <w:r>
        <w:rPr>
          <w:rFonts w:ascii="Helv" w:hAnsi="Helv" w:cs="Helv"/>
          <w:b/>
          <w:color w:val="000000"/>
          <w:sz w:val="20"/>
          <w:szCs w:val="20"/>
        </w:rPr>
        <w:t>Thursday, October 14.</w:t>
      </w:r>
    </w:p>
    <w:p w:rsidR="00250290" w:rsidRDefault="00250290" w:rsidP="00250290">
      <w:pPr>
        <w:pStyle w:val="ListParagraph"/>
        <w:numPr>
          <w:ilvl w:val="0"/>
          <w:numId w:val="1"/>
        </w:num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Students may not get the exact location they request due to preceptor and site availability, but this system will help </w:t>
      </w:r>
      <w:r w:rsidR="00514BE2">
        <w:rPr>
          <w:rFonts w:ascii="Helv" w:hAnsi="Helv" w:cs="Helv"/>
          <w:color w:val="000000"/>
          <w:sz w:val="20"/>
          <w:szCs w:val="20"/>
        </w:rPr>
        <w:t>Dr. Fink</w:t>
      </w:r>
      <w:r>
        <w:rPr>
          <w:rFonts w:ascii="Helv" w:hAnsi="Helv" w:cs="Helv"/>
          <w:color w:val="000000"/>
          <w:sz w:val="20"/>
          <w:szCs w:val="20"/>
        </w:rPr>
        <w:t xml:space="preserve"> to match them with the closest</w:t>
      </w:r>
      <w:r w:rsidR="00514BE2">
        <w:rPr>
          <w:rFonts w:ascii="Helv" w:hAnsi="Helv" w:cs="Helv"/>
          <w:color w:val="000000"/>
          <w:sz w:val="20"/>
          <w:szCs w:val="20"/>
        </w:rPr>
        <w:t xml:space="preserve"> opportunity </w:t>
      </w:r>
      <w:r>
        <w:rPr>
          <w:rFonts w:ascii="Helv" w:hAnsi="Helv" w:cs="Helv"/>
          <w:color w:val="000000"/>
          <w:sz w:val="20"/>
          <w:szCs w:val="20"/>
        </w:rPr>
        <w:t>available to their ideal.</w:t>
      </w:r>
    </w:p>
    <w:p w:rsidR="00250290" w:rsidRDefault="00250290" w:rsidP="00250290">
      <w:pPr>
        <w:pStyle w:val="ListParagraph"/>
        <w:numPr>
          <w:ilvl w:val="0"/>
          <w:numId w:val="1"/>
        </w:num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If students choose a rotation in VA, they will need a VA intern license and if they choose a rotation in DC, they will need a DC intern license, Maryland does not require an intern license for rotation students.</w:t>
      </w:r>
    </w:p>
    <w:p w:rsidR="00250290" w:rsidRDefault="00250290" w:rsidP="00250290">
      <w:pPr>
        <w:pStyle w:val="ListParagraph"/>
        <w:numPr>
          <w:ilvl w:val="0"/>
          <w:numId w:val="1"/>
        </w:num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In order to be considered for rotation placement, the student will need to upload their </w:t>
      </w:r>
      <w:r>
        <w:rPr>
          <w:rFonts w:ascii="Helv" w:hAnsi="Helv" w:cs="Helv"/>
          <w:b/>
          <w:bCs/>
          <w:color w:val="000000"/>
          <w:sz w:val="20"/>
          <w:szCs w:val="20"/>
        </w:rPr>
        <w:t xml:space="preserve">CV, Letter of Intent, and </w:t>
      </w:r>
      <w:r>
        <w:rPr>
          <w:rFonts w:ascii="Helv" w:hAnsi="Helv" w:cs="Helv"/>
          <w:b/>
          <w:bCs/>
          <w:color w:val="000000"/>
          <w:sz w:val="20"/>
          <w:szCs w:val="20"/>
        </w:rPr>
        <w:t xml:space="preserve">their original </w:t>
      </w:r>
      <w:r>
        <w:rPr>
          <w:rFonts w:ascii="Helv" w:hAnsi="Helv" w:cs="Helv"/>
          <w:b/>
          <w:bCs/>
          <w:color w:val="000000"/>
          <w:sz w:val="20"/>
          <w:szCs w:val="20"/>
        </w:rPr>
        <w:t xml:space="preserve">SOAP note based on the standardized case </w:t>
      </w:r>
      <w:r>
        <w:rPr>
          <w:rFonts w:ascii="Helv" w:hAnsi="Helv" w:cs="Helv"/>
          <w:b/>
          <w:bCs/>
          <w:color w:val="000000"/>
          <w:sz w:val="20"/>
          <w:szCs w:val="20"/>
        </w:rPr>
        <w:t>below</w:t>
      </w:r>
      <w:r>
        <w:rPr>
          <w:rFonts w:ascii="Helv" w:hAnsi="Helv" w:cs="Helv"/>
          <w:b/>
          <w:bCs/>
          <w:color w:val="000000"/>
          <w:sz w:val="20"/>
          <w:szCs w:val="20"/>
        </w:rPr>
        <w:t xml:space="preserve">, </w:t>
      </w:r>
      <w:r>
        <w:rPr>
          <w:rFonts w:ascii="Helv" w:hAnsi="Helv" w:cs="Helv"/>
          <w:color w:val="000000"/>
          <w:sz w:val="20"/>
          <w:szCs w:val="20"/>
        </w:rPr>
        <w:t xml:space="preserve">to myClinicalExchange. </w:t>
      </w:r>
      <w:bookmarkStart w:id="0" w:name="_GoBack"/>
      <w:bookmarkEnd w:id="0"/>
      <w:r>
        <w:rPr>
          <w:rFonts w:ascii="Helv" w:hAnsi="Helv" w:cs="Helv"/>
          <w:color w:val="000000"/>
          <w:sz w:val="20"/>
          <w:szCs w:val="20"/>
        </w:rPr>
        <w:t xml:space="preserve">Please note that we have more advanced community opportunities than clinical/ non- traditional opportunities. If the student is only interested in an advanced community rotation, they may submit their CV for a second time instead of the standardized case SOAP note. Any student who is interested in any rotation aside from advanced community must submit the standardized case SOAP note in order to be considered. The system will not allow them to submit a request without these documents, so they should have these on hand prior to starting their application. </w:t>
      </w:r>
    </w:p>
    <w:p w:rsidR="00250290" w:rsidRDefault="00250290" w:rsidP="00250290">
      <w:pPr>
        <w:pStyle w:val="ListParagraph"/>
        <w:numPr>
          <w:ilvl w:val="0"/>
          <w:numId w:val="1"/>
        </w:num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Students should submit a separate rotation request for each type of rotation they would like. </w:t>
      </w:r>
      <w:proofErr w:type="spellStart"/>
      <w:r>
        <w:rPr>
          <w:rFonts w:ascii="Helv" w:hAnsi="Helv" w:cs="Helv"/>
          <w:color w:val="000000"/>
          <w:sz w:val="20"/>
          <w:szCs w:val="20"/>
        </w:rPr>
        <w:t>Ie</w:t>
      </w:r>
      <w:proofErr w:type="spellEnd"/>
      <w:r>
        <w:rPr>
          <w:rFonts w:ascii="Helv" w:hAnsi="Helv" w:cs="Helv"/>
          <w:color w:val="000000"/>
          <w:sz w:val="20"/>
          <w:szCs w:val="20"/>
        </w:rPr>
        <w:t xml:space="preserve">: If they would like both a nephrology rotation and an advanced community rotation, they should submit 2 separate requests. </w:t>
      </w:r>
    </w:p>
    <w:p w:rsidR="00250290" w:rsidRDefault="00250290" w:rsidP="00A65673">
      <w:pPr>
        <w:spacing w:after="0" w:line="240" w:lineRule="auto"/>
        <w:rPr>
          <w:b/>
          <w:sz w:val="32"/>
        </w:rPr>
      </w:pPr>
    </w:p>
    <w:p w:rsidR="00250290" w:rsidRDefault="00250290" w:rsidP="00250290">
      <w:pPr>
        <w:spacing w:after="0" w:line="240" w:lineRule="auto"/>
        <w:rPr>
          <w:b/>
          <w:sz w:val="32"/>
        </w:rPr>
      </w:pPr>
      <w:r>
        <w:rPr>
          <w:b/>
          <w:sz w:val="32"/>
        </w:rPr>
        <w:t xml:space="preserve">Standardized </w:t>
      </w:r>
      <w:r w:rsidRPr="007A33D1">
        <w:rPr>
          <w:b/>
          <w:sz w:val="32"/>
        </w:rPr>
        <w:t>Patient Case</w:t>
      </w:r>
    </w:p>
    <w:p w:rsidR="00480BD8" w:rsidRPr="007A33D1" w:rsidRDefault="00480BD8" w:rsidP="00A65673">
      <w:pPr>
        <w:spacing w:after="0" w:line="240" w:lineRule="auto"/>
        <w:rPr>
          <w:b/>
          <w:sz w:val="32"/>
        </w:rPr>
      </w:pPr>
    </w:p>
    <w:p w:rsidR="00A65673" w:rsidRPr="0071124B" w:rsidRDefault="00250290" w:rsidP="00A65673">
      <w:pPr>
        <w:spacing w:after="0" w:line="240" w:lineRule="auto"/>
        <w:rPr>
          <w:u w:val="single"/>
        </w:rPr>
      </w:pPr>
      <w:r>
        <w:rPr>
          <w:u w:val="single"/>
        </w:rPr>
        <w:t xml:space="preserve">SOAP Note </w:t>
      </w:r>
      <w:r w:rsidR="00A65673" w:rsidRPr="0071124B">
        <w:rPr>
          <w:u w:val="single"/>
        </w:rPr>
        <w:t>Instructions:</w:t>
      </w:r>
    </w:p>
    <w:p w:rsidR="00A65673" w:rsidRPr="0071124B" w:rsidRDefault="00A65673" w:rsidP="00A65673">
      <w:pPr>
        <w:spacing w:after="0" w:line="240" w:lineRule="auto"/>
      </w:pPr>
      <w:r w:rsidRPr="0071124B">
        <w:t xml:space="preserve">Please review the information below to develop at SOAP note. Your note should prioritize the most important issues at the top that require attention/intervention. </w:t>
      </w:r>
    </w:p>
    <w:p w:rsidR="00A65673" w:rsidRPr="0071124B" w:rsidRDefault="00A65673" w:rsidP="00A65673">
      <w:pPr>
        <w:spacing w:after="0" w:line="240" w:lineRule="auto"/>
      </w:pPr>
    </w:p>
    <w:p w:rsidR="00A65673" w:rsidRPr="0071124B" w:rsidRDefault="00A65673" w:rsidP="00A65673">
      <w:pPr>
        <w:spacing w:after="0" w:line="240" w:lineRule="auto"/>
      </w:pPr>
      <w:r w:rsidRPr="0071124B">
        <w:rPr>
          <w:u w:val="single"/>
        </w:rPr>
        <w:t>HPI</w:t>
      </w:r>
      <w:r w:rsidRPr="0071124B">
        <w:t xml:space="preserve">: JC is a 68yo AA female who is referred to the Pharmacy Primary Care Clinic for diabetes management. </w:t>
      </w:r>
    </w:p>
    <w:p w:rsidR="00A65673" w:rsidRPr="0071124B" w:rsidRDefault="00A65673" w:rsidP="00A65673">
      <w:pPr>
        <w:spacing w:after="0" w:line="240" w:lineRule="auto"/>
      </w:pPr>
    </w:p>
    <w:p w:rsidR="00A65673" w:rsidRPr="0071124B" w:rsidRDefault="00A65673" w:rsidP="00A65673">
      <w:pPr>
        <w:spacing w:after="0" w:line="240" w:lineRule="auto"/>
        <w:rPr>
          <w:u w:val="single"/>
        </w:rPr>
      </w:pPr>
      <w:r w:rsidRPr="0071124B">
        <w:rPr>
          <w:u w:val="single"/>
        </w:rPr>
        <w:t>PMH:</w:t>
      </w:r>
    </w:p>
    <w:p w:rsidR="00A65673" w:rsidRPr="0071124B" w:rsidRDefault="00A65673" w:rsidP="00A65673">
      <w:pPr>
        <w:spacing w:after="0" w:line="240" w:lineRule="auto"/>
      </w:pPr>
      <w:r w:rsidRPr="0071124B">
        <w:t xml:space="preserve">Atrial Fibrillation </w:t>
      </w:r>
      <w:r>
        <w:t>(newly diagnosed)</w:t>
      </w:r>
    </w:p>
    <w:p w:rsidR="00A65673" w:rsidRPr="0071124B" w:rsidRDefault="00A65673" w:rsidP="00A65673">
      <w:pPr>
        <w:spacing w:after="0" w:line="240" w:lineRule="auto"/>
      </w:pPr>
      <w:r w:rsidRPr="0071124B">
        <w:t>Heart Failure with Reduced Ejection Fraction</w:t>
      </w:r>
      <w:r>
        <w:t>, EF=38% (newly diagnosed)</w:t>
      </w:r>
    </w:p>
    <w:p w:rsidR="00A65673" w:rsidRPr="0071124B" w:rsidRDefault="00A65673" w:rsidP="00A65673">
      <w:pPr>
        <w:spacing w:after="0" w:line="240" w:lineRule="auto"/>
      </w:pPr>
      <w:r w:rsidRPr="0071124B">
        <w:t>Hypertension</w:t>
      </w:r>
    </w:p>
    <w:p w:rsidR="00A65673" w:rsidRPr="0071124B" w:rsidRDefault="00A65673" w:rsidP="00A65673">
      <w:pPr>
        <w:spacing w:after="0" w:line="240" w:lineRule="auto"/>
      </w:pPr>
      <w:r w:rsidRPr="0071124B">
        <w:t>Depression (PHQ-9 score in January 2019 was found to be 4)</w:t>
      </w:r>
    </w:p>
    <w:p w:rsidR="00A65673" w:rsidRPr="0071124B" w:rsidRDefault="00A65673" w:rsidP="00A65673">
      <w:pPr>
        <w:spacing w:after="0" w:line="240" w:lineRule="auto"/>
      </w:pPr>
      <w:r w:rsidRPr="0071124B">
        <w:t>Hyperlipidemia</w:t>
      </w:r>
    </w:p>
    <w:p w:rsidR="00A65673" w:rsidRPr="0071124B" w:rsidRDefault="00A65673" w:rsidP="00A65673">
      <w:pPr>
        <w:spacing w:after="0" w:line="240" w:lineRule="auto"/>
      </w:pPr>
      <w:r w:rsidRPr="0071124B">
        <w:t>MI (3/2006)</w:t>
      </w:r>
    </w:p>
    <w:p w:rsidR="00A65673" w:rsidRPr="0071124B" w:rsidRDefault="00A65673" w:rsidP="00A65673">
      <w:pPr>
        <w:spacing w:after="0" w:line="240" w:lineRule="auto"/>
      </w:pPr>
      <w:r w:rsidRPr="0071124B">
        <w:t>Type 2 Diabetes (diagnosed 8/2000)</w:t>
      </w:r>
    </w:p>
    <w:p w:rsidR="00A65673" w:rsidRPr="0071124B" w:rsidRDefault="00A65673" w:rsidP="00A65673">
      <w:pPr>
        <w:spacing w:after="0" w:line="240" w:lineRule="auto"/>
      </w:pPr>
      <w:r w:rsidRPr="0071124B">
        <w:t>Peripheral Neuropathy</w:t>
      </w:r>
    </w:p>
    <w:p w:rsidR="00A65673" w:rsidRPr="0071124B" w:rsidRDefault="00A65673" w:rsidP="00A65673">
      <w:pPr>
        <w:spacing w:after="0" w:line="240" w:lineRule="auto"/>
      </w:pPr>
    </w:p>
    <w:p w:rsidR="00A65673" w:rsidRPr="0071124B" w:rsidRDefault="00A65673" w:rsidP="00A65673">
      <w:pPr>
        <w:spacing w:after="0" w:line="240" w:lineRule="auto"/>
        <w:rPr>
          <w:u w:val="single"/>
        </w:rPr>
      </w:pPr>
      <w:r w:rsidRPr="0071124B">
        <w:rPr>
          <w:u w:val="single"/>
        </w:rPr>
        <w:t>SH:</w:t>
      </w:r>
    </w:p>
    <w:p w:rsidR="00A65673" w:rsidRPr="0071124B" w:rsidRDefault="00A65673" w:rsidP="00A65673">
      <w:pPr>
        <w:spacing w:after="0" w:line="240" w:lineRule="auto"/>
      </w:pPr>
      <w:r w:rsidRPr="0071124B">
        <w:t>Tobacco: currently smokes 1 PPD</w:t>
      </w:r>
      <w:r>
        <w:t xml:space="preserve"> (not interested in quitting)</w:t>
      </w:r>
    </w:p>
    <w:p w:rsidR="00A65673" w:rsidRPr="0071124B" w:rsidRDefault="00A65673" w:rsidP="00A65673">
      <w:pPr>
        <w:spacing w:after="0" w:line="240" w:lineRule="auto"/>
      </w:pPr>
      <w:r w:rsidRPr="0071124B">
        <w:lastRenderedPageBreak/>
        <w:t>Alcohol: social drinker</w:t>
      </w:r>
    </w:p>
    <w:p w:rsidR="00A65673" w:rsidRPr="0071124B" w:rsidRDefault="00A65673" w:rsidP="00A65673">
      <w:pPr>
        <w:spacing w:after="0" w:line="240" w:lineRule="auto"/>
      </w:pPr>
      <w:r w:rsidRPr="0071124B">
        <w:t>Exercise: does not exercise</w:t>
      </w:r>
    </w:p>
    <w:p w:rsidR="00A65673" w:rsidRPr="0071124B" w:rsidRDefault="00A65673" w:rsidP="00A65673">
      <w:pPr>
        <w:spacing w:after="0" w:line="240" w:lineRule="auto"/>
      </w:pPr>
      <w:r w:rsidRPr="0071124B">
        <w:t>Diet: non-adherent to diabetic diet</w:t>
      </w:r>
    </w:p>
    <w:p w:rsidR="00A65673" w:rsidRPr="0071124B" w:rsidRDefault="00A65673" w:rsidP="00A65673">
      <w:pPr>
        <w:spacing w:after="0" w:line="240" w:lineRule="auto"/>
      </w:pPr>
    </w:p>
    <w:p w:rsidR="00A65673" w:rsidRPr="0071124B" w:rsidRDefault="00A65673" w:rsidP="00A65673">
      <w:pPr>
        <w:spacing w:after="0" w:line="240" w:lineRule="auto"/>
        <w:rPr>
          <w:u w:val="single"/>
        </w:rPr>
      </w:pPr>
      <w:r w:rsidRPr="0071124B">
        <w:rPr>
          <w:u w:val="single"/>
        </w:rPr>
        <w:t>ROS</w:t>
      </w:r>
    </w:p>
    <w:p w:rsidR="00A65673" w:rsidRDefault="00A65673" w:rsidP="00A65673">
      <w:pPr>
        <w:spacing w:after="0" w:line="240" w:lineRule="auto"/>
      </w:pPr>
      <w:r w:rsidRPr="0071124B">
        <w:t>Remarkable</w:t>
      </w:r>
      <w:r>
        <w:t xml:space="preserve"> for</w:t>
      </w:r>
      <w:r w:rsidRPr="0071124B">
        <w:t xml:space="preserve"> fatigue, polyuria, nocturia, and polydipsia. Reports slight visual changes and complains of “needle like pain in legs and feet”. Also complains of dizziness and sweating on a couple occasions. Denies chest pain, behavioral changes or any other ADRs. </w:t>
      </w:r>
    </w:p>
    <w:p w:rsidR="00A65673" w:rsidRPr="0071124B" w:rsidRDefault="00A65673" w:rsidP="00A65673">
      <w:pPr>
        <w:spacing w:after="0" w:line="240" w:lineRule="auto"/>
      </w:pPr>
    </w:p>
    <w:p w:rsidR="00A65673" w:rsidRPr="0071124B" w:rsidRDefault="00A65673" w:rsidP="00A65673">
      <w:pPr>
        <w:spacing w:after="0" w:line="240" w:lineRule="auto"/>
      </w:pPr>
      <w:r w:rsidRPr="0071124B">
        <w:rPr>
          <w:u w:val="single"/>
        </w:rPr>
        <w:t>Medication Allergies:</w:t>
      </w:r>
      <w:r w:rsidRPr="0071124B">
        <w:t xml:space="preserve"> Lisinopril (cough)</w:t>
      </w:r>
    </w:p>
    <w:p w:rsidR="00A65673" w:rsidRPr="0071124B" w:rsidRDefault="00A65673" w:rsidP="00A65673">
      <w:pPr>
        <w:spacing w:after="0" w:line="240" w:lineRule="auto"/>
      </w:pPr>
    </w:p>
    <w:p w:rsidR="00A65673" w:rsidRPr="0071124B" w:rsidRDefault="00A65673" w:rsidP="00A65673">
      <w:pPr>
        <w:spacing w:after="0" w:line="240" w:lineRule="auto"/>
        <w:rPr>
          <w:u w:val="single"/>
        </w:rPr>
      </w:pPr>
      <w:r w:rsidRPr="0071124B">
        <w:rPr>
          <w:u w:val="single"/>
        </w:rPr>
        <w:t>Prescribed Medications:</w:t>
      </w:r>
    </w:p>
    <w:tbl>
      <w:tblPr>
        <w:tblStyle w:val="TableGrid"/>
        <w:tblW w:w="9796" w:type="dxa"/>
        <w:tblLook w:val="04A0" w:firstRow="1" w:lastRow="0" w:firstColumn="1" w:lastColumn="0" w:noHBand="0" w:noVBand="1"/>
      </w:tblPr>
      <w:tblGrid>
        <w:gridCol w:w="2796"/>
        <w:gridCol w:w="5131"/>
        <w:gridCol w:w="900"/>
        <w:gridCol w:w="969"/>
      </w:tblGrid>
      <w:tr w:rsidR="00A65673" w:rsidRPr="0071124B" w:rsidTr="00594CB4">
        <w:trPr>
          <w:trHeight w:val="395"/>
        </w:trPr>
        <w:tc>
          <w:tcPr>
            <w:tcW w:w="2796" w:type="dxa"/>
          </w:tcPr>
          <w:p w:rsidR="00A65673" w:rsidRPr="0071124B" w:rsidRDefault="00A65673" w:rsidP="00594CB4">
            <w:r w:rsidRPr="0071124B">
              <w:t>Medication Name</w:t>
            </w:r>
          </w:p>
        </w:tc>
        <w:tc>
          <w:tcPr>
            <w:tcW w:w="5131" w:type="dxa"/>
          </w:tcPr>
          <w:p w:rsidR="00A65673" w:rsidRPr="0071124B" w:rsidRDefault="00A65673" w:rsidP="00594CB4">
            <w:r w:rsidRPr="0071124B">
              <w:t>Directions</w:t>
            </w:r>
          </w:p>
        </w:tc>
        <w:tc>
          <w:tcPr>
            <w:tcW w:w="900" w:type="dxa"/>
          </w:tcPr>
          <w:p w:rsidR="00A65673" w:rsidRPr="0071124B" w:rsidRDefault="00A65673" w:rsidP="00594CB4">
            <w:r w:rsidRPr="0071124B">
              <w:t>MRAR</w:t>
            </w:r>
          </w:p>
        </w:tc>
        <w:tc>
          <w:tcPr>
            <w:tcW w:w="969" w:type="dxa"/>
          </w:tcPr>
          <w:p w:rsidR="00A65673" w:rsidRPr="0071124B" w:rsidRDefault="00A65673" w:rsidP="00594CB4">
            <w:r w:rsidRPr="0071124B">
              <w:t>DSR</w:t>
            </w:r>
          </w:p>
        </w:tc>
      </w:tr>
      <w:tr w:rsidR="00A65673" w:rsidRPr="0071124B" w:rsidTr="00594CB4">
        <w:trPr>
          <w:trHeight w:val="302"/>
        </w:trPr>
        <w:tc>
          <w:tcPr>
            <w:tcW w:w="2796" w:type="dxa"/>
          </w:tcPr>
          <w:p w:rsidR="00A65673" w:rsidRPr="0071124B" w:rsidRDefault="00A65673" w:rsidP="00594CB4">
            <w:r w:rsidRPr="0071124B">
              <w:t>Atenolol 25mg</w:t>
            </w:r>
          </w:p>
        </w:tc>
        <w:tc>
          <w:tcPr>
            <w:tcW w:w="5131" w:type="dxa"/>
          </w:tcPr>
          <w:p w:rsidR="00A65673" w:rsidRPr="0071124B" w:rsidRDefault="00A65673" w:rsidP="00594CB4">
            <w:r w:rsidRPr="0071124B">
              <w:t>Take 1 tablet by mouth daily</w:t>
            </w:r>
          </w:p>
        </w:tc>
        <w:tc>
          <w:tcPr>
            <w:tcW w:w="900" w:type="dxa"/>
          </w:tcPr>
          <w:p w:rsidR="00A65673" w:rsidRPr="0071124B" w:rsidRDefault="00A65673" w:rsidP="00594CB4">
            <w:r w:rsidRPr="0071124B">
              <w:t>84</w:t>
            </w:r>
          </w:p>
        </w:tc>
        <w:tc>
          <w:tcPr>
            <w:tcW w:w="969" w:type="dxa"/>
          </w:tcPr>
          <w:p w:rsidR="00A65673" w:rsidRPr="0071124B" w:rsidRDefault="00A65673" w:rsidP="00594CB4">
            <w:r w:rsidRPr="0071124B">
              <w:t>77</w:t>
            </w:r>
          </w:p>
        </w:tc>
      </w:tr>
      <w:tr w:rsidR="00A65673" w:rsidRPr="0071124B" w:rsidTr="00594CB4">
        <w:trPr>
          <w:trHeight w:val="302"/>
        </w:trPr>
        <w:tc>
          <w:tcPr>
            <w:tcW w:w="2796" w:type="dxa"/>
          </w:tcPr>
          <w:p w:rsidR="00A65673" w:rsidRPr="0071124B" w:rsidRDefault="00A65673" w:rsidP="00594CB4">
            <w:r w:rsidRPr="0071124B">
              <w:t>Furosemide 40mg</w:t>
            </w:r>
          </w:p>
        </w:tc>
        <w:tc>
          <w:tcPr>
            <w:tcW w:w="5131" w:type="dxa"/>
          </w:tcPr>
          <w:p w:rsidR="00A65673" w:rsidRPr="0071124B" w:rsidRDefault="00A65673" w:rsidP="00594CB4">
            <w:r w:rsidRPr="0071124B">
              <w:t>Take 1 tablet by mouth daily</w:t>
            </w:r>
          </w:p>
        </w:tc>
        <w:tc>
          <w:tcPr>
            <w:tcW w:w="900" w:type="dxa"/>
          </w:tcPr>
          <w:p w:rsidR="00A65673" w:rsidRPr="0071124B" w:rsidRDefault="00A65673" w:rsidP="00594CB4">
            <w:r w:rsidRPr="0071124B">
              <w:t>66</w:t>
            </w:r>
          </w:p>
        </w:tc>
        <w:tc>
          <w:tcPr>
            <w:tcW w:w="969" w:type="dxa"/>
          </w:tcPr>
          <w:p w:rsidR="00A65673" w:rsidRPr="0071124B" w:rsidRDefault="00A65673" w:rsidP="00594CB4">
            <w:r w:rsidRPr="0071124B">
              <w:t>83</w:t>
            </w:r>
          </w:p>
        </w:tc>
      </w:tr>
      <w:tr w:rsidR="00A65673" w:rsidRPr="0071124B" w:rsidTr="00594CB4">
        <w:trPr>
          <w:trHeight w:val="285"/>
        </w:trPr>
        <w:tc>
          <w:tcPr>
            <w:tcW w:w="2796" w:type="dxa"/>
          </w:tcPr>
          <w:p w:rsidR="00A65673" w:rsidRPr="0071124B" w:rsidRDefault="00A65673" w:rsidP="00594CB4">
            <w:r w:rsidRPr="0071124B">
              <w:t>Gabapentin 600mg</w:t>
            </w:r>
          </w:p>
        </w:tc>
        <w:tc>
          <w:tcPr>
            <w:tcW w:w="5131" w:type="dxa"/>
          </w:tcPr>
          <w:p w:rsidR="00A65673" w:rsidRPr="0071124B" w:rsidRDefault="00A65673" w:rsidP="00594CB4">
            <w:r w:rsidRPr="0071124B">
              <w:t>Take 1 tablet by mouth twice daily</w:t>
            </w:r>
          </w:p>
        </w:tc>
        <w:tc>
          <w:tcPr>
            <w:tcW w:w="900" w:type="dxa"/>
          </w:tcPr>
          <w:p w:rsidR="00A65673" w:rsidRPr="0071124B" w:rsidRDefault="00A65673" w:rsidP="00594CB4">
            <w:r w:rsidRPr="0071124B">
              <w:t>83</w:t>
            </w:r>
          </w:p>
        </w:tc>
        <w:tc>
          <w:tcPr>
            <w:tcW w:w="969" w:type="dxa"/>
          </w:tcPr>
          <w:p w:rsidR="00A65673" w:rsidRPr="0071124B" w:rsidRDefault="00A65673" w:rsidP="00594CB4">
            <w:r w:rsidRPr="0071124B">
              <w:t>15</w:t>
            </w:r>
          </w:p>
        </w:tc>
      </w:tr>
      <w:tr w:rsidR="00A65673" w:rsidRPr="0071124B" w:rsidTr="00594CB4">
        <w:trPr>
          <w:trHeight w:val="302"/>
        </w:trPr>
        <w:tc>
          <w:tcPr>
            <w:tcW w:w="2796" w:type="dxa"/>
          </w:tcPr>
          <w:p w:rsidR="00A65673" w:rsidRPr="0071124B" w:rsidRDefault="00A65673" w:rsidP="00594CB4">
            <w:r w:rsidRPr="0071124B">
              <w:t>Actos 30mg</w:t>
            </w:r>
          </w:p>
        </w:tc>
        <w:tc>
          <w:tcPr>
            <w:tcW w:w="5131" w:type="dxa"/>
          </w:tcPr>
          <w:p w:rsidR="00A65673" w:rsidRPr="0071124B" w:rsidRDefault="00A65673" w:rsidP="00594CB4">
            <w:r w:rsidRPr="0071124B">
              <w:t>Take 1 tablet by mouth daily</w:t>
            </w:r>
          </w:p>
        </w:tc>
        <w:tc>
          <w:tcPr>
            <w:tcW w:w="900" w:type="dxa"/>
          </w:tcPr>
          <w:p w:rsidR="00A65673" w:rsidRPr="0071124B" w:rsidRDefault="00A65673" w:rsidP="00594CB4">
            <w:r w:rsidRPr="0071124B">
              <w:t>77</w:t>
            </w:r>
          </w:p>
        </w:tc>
        <w:tc>
          <w:tcPr>
            <w:tcW w:w="969" w:type="dxa"/>
          </w:tcPr>
          <w:p w:rsidR="00A65673" w:rsidRPr="0071124B" w:rsidRDefault="00A65673" w:rsidP="00594CB4">
            <w:r w:rsidRPr="0071124B">
              <w:t>83</w:t>
            </w:r>
          </w:p>
        </w:tc>
      </w:tr>
      <w:tr w:rsidR="00A65673" w:rsidRPr="0071124B" w:rsidTr="00594CB4">
        <w:trPr>
          <w:trHeight w:val="285"/>
        </w:trPr>
        <w:tc>
          <w:tcPr>
            <w:tcW w:w="2796" w:type="dxa"/>
          </w:tcPr>
          <w:p w:rsidR="00A65673" w:rsidRPr="0071124B" w:rsidRDefault="00A65673" w:rsidP="00594CB4">
            <w:r w:rsidRPr="0071124B">
              <w:t>Metformin 1000mg</w:t>
            </w:r>
          </w:p>
        </w:tc>
        <w:tc>
          <w:tcPr>
            <w:tcW w:w="5131" w:type="dxa"/>
          </w:tcPr>
          <w:p w:rsidR="00A65673" w:rsidRPr="0071124B" w:rsidRDefault="00A65673" w:rsidP="00594CB4">
            <w:r w:rsidRPr="0071124B">
              <w:t>Take 1 tablet by mouth twice daily</w:t>
            </w:r>
          </w:p>
        </w:tc>
        <w:tc>
          <w:tcPr>
            <w:tcW w:w="900" w:type="dxa"/>
          </w:tcPr>
          <w:p w:rsidR="00A65673" w:rsidRPr="0071124B" w:rsidRDefault="00A65673" w:rsidP="00594CB4">
            <w:r w:rsidRPr="0071124B">
              <w:t>55</w:t>
            </w:r>
          </w:p>
        </w:tc>
        <w:tc>
          <w:tcPr>
            <w:tcW w:w="969" w:type="dxa"/>
          </w:tcPr>
          <w:p w:rsidR="00A65673" w:rsidRPr="0071124B" w:rsidRDefault="00A65673" w:rsidP="00594CB4">
            <w:r w:rsidRPr="0071124B">
              <w:t>10</w:t>
            </w:r>
          </w:p>
        </w:tc>
      </w:tr>
      <w:tr w:rsidR="00A65673" w:rsidRPr="0071124B" w:rsidTr="00594CB4">
        <w:trPr>
          <w:trHeight w:val="302"/>
        </w:trPr>
        <w:tc>
          <w:tcPr>
            <w:tcW w:w="2796" w:type="dxa"/>
          </w:tcPr>
          <w:p w:rsidR="00A65673" w:rsidRPr="0071124B" w:rsidRDefault="00A65673" w:rsidP="00594CB4">
            <w:r w:rsidRPr="0071124B">
              <w:t>Multivitamin</w:t>
            </w:r>
          </w:p>
        </w:tc>
        <w:tc>
          <w:tcPr>
            <w:tcW w:w="5131" w:type="dxa"/>
          </w:tcPr>
          <w:p w:rsidR="00A65673" w:rsidRPr="0071124B" w:rsidRDefault="00A65673" w:rsidP="00594CB4">
            <w:r w:rsidRPr="0071124B">
              <w:t>Take 1 tablet by mouth once daily</w:t>
            </w:r>
          </w:p>
        </w:tc>
        <w:tc>
          <w:tcPr>
            <w:tcW w:w="900" w:type="dxa"/>
          </w:tcPr>
          <w:p w:rsidR="00A65673" w:rsidRPr="0071124B" w:rsidRDefault="00A65673" w:rsidP="00594CB4">
            <w:r>
              <w:t>--</w:t>
            </w:r>
          </w:p>
        </w:tc>
        <w:tc>
          <w:tcPr>
            <w:tcW w:w="969" w:type="dxa"/>
          </w:tcPr>
          <w:p w:rsidR="00A65673" w:rsidRPr="0071124B" w:rsidRDefault="00A65673" w:rsidP="00594CB4">
            <w:r>
              <w:t>--</w:t>
            </w:r>
          </w:p>
        </w:tc>
      </w:tr>
      <w:tr w:rsidR="00A65673" w:rsidRPr="0071124B" w:rsidTr="00594CB4">
        <w:trPr>
          <w:trHeight w:val="285"/>
        </w:trPr>
        <w:tc>
          <w:tcPr>
            <w:tcW w:w="2796" w:type="dxa"/>
          </w:tcPr>
          <w:p w:rsidR="00A65673" w:rsidRPr="0071124B" w:rsidRDefault="00A65673" w:rsidP="00594CB4">
            <w:r w:rsidRPr="0071124B">
              <w:t>Sertraline 50mg</w:t>
            </w:r>
          </w:p>
        </w:tc>
        <w:tc>
          <w:tcPr>
            <w:tcW w:w="5131" w:type="dxa"/>
          </w:tcPr>
          <w:p w:rsidR="00A65673" w:rsidRPr="0071124B" w:rsidRDefault="00A65673" w:rsidP="00594CB4">
            <w:r w:rsidRPr="0071124B">
              <w:t>Take 1 tablet by mouth once daily</w:t>
            </w:r>
          </w:p>
        </w:tc>
        <w:tc>
          <w:tcPr>
            <w:tcW w:w="900" w:type="dxa"/>
          </w:tcPr>
          <w:p w:rsidR="00A65673" w:rsidRPr="0071124B" w:rsidRDefault="00A65673" w:rsidP="00594CB4">
            <w:r w:rsidRPr="0071124B">
              <w:t>100</w:t>
            </w:r>
          </w:p>
        </w:tc>
        <w:tc>
          <w:tcPr>
            <w:tcW w:w="969" w:type="dxa"/>
          </w:tcPr>
          <w:p w:rsidR="00A65673" w:rsidRPr="0071124B" w:rsidRDefault="00A65673" w:rsidP="00594CB4">
            <w:r w:rsidRPr="0071124B">
              <w:t>34</w:t>
            </w:r>
          </w:p>
        </w:tc>
      </w:tr>
      <w:tr w:rsidR="00A65673" w:rsidRPr="0071124B" w:rsidTr="00594CB4">
        <w:trPr>
          <w:trHeight w:val="285"/>
        </w:trPr>
        <w:tc>
          <w:tcPr>
            <w:tcW w:w="2796" w:type="dxa"/>
          </w:tcPr>
          <w:p w:rsidR="00A65673" w:rsidRPr="0071124B" w:rsidRDefault="00A65673" w:rsidP="00594CB4">
            <w:r w:rsidRPr="0071124B">
              <w:t>Simvastatin 40mg</w:t>
            </w:r>
          </w:p>
        </w:tc>
        <w:tc>
          <w:tcPr>
            <w:tcW w:w="5131" w:type="dxa"/>
          </w:tcPr>
          <w:p w:rsidR="00A65673" w:rsidRPr="0071124B" w:rsidRDefault="00A65673" w:rsidP="00594CB4">
            <w:r w:rsidRPr="0071124B">
              <w:t>Take 1 tablet by mouth daily</w:t>
            </w:r>
          </w:p>
        </w:tc>
        <w:tc>
          <w:tcPr>
            <w:tcW w:w="900" w:type="dxa"/>
          </w:tcPr>
          <w:p w:rsidR="00A65673" w:rsidRPr="0071124B" w:rsidRDefault="00A65673" w:rsidP="00594CB4">
            <w:r w:rsidRPr="0071124B">
              <w:t>83</w:t>
            </w:r>
          </w:p>
        </w:tc>
        <w:tc>
          <w:tcPr>
            <w:tcW w:w="969" w:type="dxa"/>
          </w:tcPr>
          <w:p w:rsidR="00A65673" w:rsidRPr="0071124B" w:rsidRDefault="00A65673" w:rsidP="00594CB4">
            <w:r w:rsidRPr="0071124B">
              <w:t>77</w:t>
            </w:r>
          </w:p>
        </w:tc>
      </w:tr>
      <w:tr w:rsidR="00A65673" w:rsidRPr="0071124B" w:rsidTr="00594CB4">
        <w:trPr>
          <w:trHeight w:val="285"/>
        </w:trPr>
        <w:tc>
          <w:tcPr>
            <w:tcW w:w="2796" w:type="dxa"/>
          </w:tcPr>
          <w:p w:rsidR="00A65673" w:rsidRPr="0071124B" w:rsidRDefault="00A65673" w:rsidP="00594CB4">
            <w:r w:rsidRPr="0071124B">
              <w:t>Lantus Solostar Pen</w:t>
            </w:r>
          </w:p>
        </w:tc>
        <w:tc>
          <w:tcPr>
            <w:tcW w:w="5131" w:type="dxa"/>
          </w:tcPr>
          <w:p w:rsidR="00A65673" w:rsidRPr="0071124B" w:rsidRDefault="00A65673" w:rsidP="00594CB4">
            <w:r w:rsidRPr="0071124B">
              <w:t>Inject 84 units daily</w:t>
            </w:r>
          </w:p>
        </w:tc>
        <w:tc>
          <w:tcPr>
            <w:tcW w:w="900" w:type="dxa"/>
          </w:tcPr>
          <w:p w:rsidR="00A65673" w:rsidRPr="0071124B" w:rsidRDefault="00A65673" w:rsidP="00594CB4">
            <w:r>
              <w:t>--</w:t>
            </w:r>
          </w:p>
        </w:tc>
        <w:tc>
          <w:tcPr>
            <w:tcW w:w="969" w:type="dxa"/>
          </w:tcPr>
          <w:p w:rsidR="00A65673" w:rsidRPr="0071124B" w:rsidRDefault="00A65673" w:rsidP="00594CB4">
            <w:r>
              <w:t>--</w:t>
            </w:r>
          </w:p>
        </w:tc>
      </w:tr>
    </w:tbl>
    <w:p w:rsidR="00A65673" w:rsidRPr="0071124B" w:rsidRDefault="00A65673" w:rsidP="00A65673">
      <w:pPr>
        <w:spacing w:after="0" w:line="240" w:lineRule="auto"/>
      </w:pPr>
      <w:r w:rsidRPr="0071124B">
        <w:t>MRAR= Medication Refill Adherence Ration (adherence rate over the last 365 days)</w:t>
      </w:r>
    </w:p>
    <w:p w:rsidR="00A65673" w:rsidRDefault="00A65673" w:rsidP="00A65673">
      <w:pPr>
        <w:spacing w:after="0" w:line="240" w:lineRule="auto"/>
      </w:pPr>
      <w:r w:rsidRPr="0071124B">
        <w:t>DSR= Day Supply Remaining</w:t>
      </w:r>
    </w:p>
    <w:p w:rsidR="00A65673" w:rsidRDefault="00A65673" w:rsidP="00A65673">
      <w:pPr>
        <w:spacing w:after="0" w:line="240" w:lineRule="auto"/>
      </w:pPr>
    </w:p>
    <w:p w:rsidR="00A65673" w:rsidRPr="0071124B" w:rsidRDefault="00A65673" w:rsidP="00A65673">
      <w:pPr>
        <w:spacing w:after="0" w:line="240" w:lineRule="auto"/>
      </w:pPr>
    </w:p>
    <w:p w:rsidR="00A65673" w:rsidRPr="0071124B" w:rsidRDefault="00A65673" w:rsidP="00A65673">
      <w:pPr>
        <w:spacing w:after="0" w:line="240" w:lineRule="auto"/>
        <w:rPr>
          <w:u w:val="single"/>
        </w:rPr>
      </w:pPr>
      <w:r w:rsidRPr="0071124B">
        <w:rPr>
          <w:u w:val="single"/>
        </w:rPr>
        <w:t>Vitals:</w:t>
      </w:r>
    </w:p>
    <w:tbl>
      <w:tblPr>
        <w:tblW w:w="0" w:type="auto"/>
        <w:tblInd w:w="-10" w:type="dxa"/>
        <w:tblLayout w:type="fixed"/>
        <w:tblCellMar>
          <w:left w:w="100" w:type="dxa"/>
          <w:right w:w="100" w:type="dxa"/>
        </w:tblCellMar>
        <w:tblLook w:val="0000" w:firstRow="0" w:lastRow="0" w:firstColumn="0" w:lastColumn="0" w:noHBand="0" w:noVBand="0"/>
      </w:tblPr>
      <w:tblGrid>
        <w:gridCol w:w="1875"/>
        <w:gridCol w:w="1380"/>
        <w:gridCol w:w="1380"/>
        <w:gridCol w:w="1275"/>
      </w:tblGrid>
      <w:tr w:rsidR="00A65673" w:rsidRPr="0071124B" w:rsidTr="00594CB4">
        <w:tc>
          <w:tcPr>
            <w:tcW w:w="1875"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VITALS</w:t>
            </w:r>
          </w:p>
        </w:tc>
        <w:tc>
          <w:tcPr>
            <w:tcW w:w="1380"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10/15/2018</w:t>
            </w:r>
          </w:p>
        </w:tc>
        <w:tc>
          <w:tcPr>
            <w:tcW w:w="1380"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12/11/2018</w:t>
            </w:r>
          </w:p>
        </w:tc>
        <w:tc>
          <w:tcPr>
            <w:tcW w:w="1275"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t>6</w:t>
            </w:r>
            <w:r w:rsidRPr="0071124B">
              <w:t>/21/2019</w:t>
            </w:r>
          </w:p>
        </w:tc>
      </w:tr>
      <w:tr w:rsidR="00A65673" w:rsidRPr="0071124B" w:rsidTr="00594CB4">
        <w:tc>
          <w:tcPr>
            <w:tcW w:w="1875"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SYSTOLIC</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142</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172</w:t>
            </w:r>
          </w:p>
        </w:tc>
        <w:tc>
          <w:tcPr>
            <w:tcW w:w="1275"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160</w:t>
            </w:r>
          </w:p>
        </w:tc>
      </w:tr>
      <w:tr w:rsidR="00A65673" w:rsidRPr="0071124B" w:rsidTr="00594CB4">
        <w:tc>
          <w:tcPr>
            <w:tcW w:w="1875"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DIASTOLIC</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88</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68</w:t>
            </w:r>
          </w:p>
        </w:tc>
        <w:tc>
          <w:tcPr>
            <w:tcW w:w="1275"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61</w:t>
            </w:r>
          </w:p>
        </w:tc>
      </w:tr>
      <w:tr w:rsidR="00A65673" w:rsidRPr="0071124B" w:rsidTr="00594CB4">
        <w:tc>
          <w:tcPr>
            <w:tcW w:w="1875"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PULSE</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65</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58</w:t>
            </w:r>
          </w:p>
        </w:tc>
        <w:tc>
          <w:tcPr>
            <w:tcW w:w="1275"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55</w:t>
            </w:r>
          </w:p>
        </w:tc>
      </w:tr>
      <w:tr w:rsidR="00A65673" w:rsidRPr="0071124B" w:rsidTr="00594CB4">
        <w:tc>
          <w:tcPr>
            <w:tcW w:w="1875"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TEMPERATURE</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97.8</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98.1</w:t>
            </w:r>
          </w:p>
        </w:tc>
        <w:tc>
          <w:tcPr>
            <w:tcW w:w="1275"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97.9</w:t>
            </w:r>
          </w:p>
        </w:tc>
      </w:tr>
      <w:tr w:rsidR="00A65673" w:rsidRPr="0071124B" w:rsidTr="00594CB4">
        <w:tc>
          <w:tcPr>
            <w:tcW w:w="1875"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RESPIRATIONS</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18</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p>
        </w:tc>
        <w:tc>
          <w:tcPr>
            <w:tcW w:w="1275"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16</w:t>
            </w:r>
          </w:p>
        </w:tc>
      </w:tr>
      <w:tr w:rsidR="00A65673" w:rsidRPr="0071124B" w:rsidTr="00594CB4">
        <w:tc>
          <w:tcPr>
            <w:tcW w:w="1875"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WEIGHT</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 xml:space="preserve">185 </w:t>
            </w:r>
            <w:proofErr w:type="spellStart"/>
            <w:r w:rsidRPr="0071124B">
              <w:t>lb</w:t>
            </w:r>
            <w:proofErr w:type="spellEnd"/>
          </w:p>
        </w:tc>
        <w:tc>
          <w:tcPr>
            <w:tcW w:w="1275"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 xml:space="preserve">190 </w:t>
            </w:r>
            <w:proofErr w:type="spellStart"/>
            <w:r w:rsidRPr="0071124B">
              <w:t>lb</w:t>
            </w:r>
            <w:proofErr w:type="spellEnd"/>
          </w:p>
        </w:tc>
      </w:tr>
      <w:tr w:rsidR="00A65673" w:rsidRPr="0071124B" w:rsidTr="00594CB4">
        <w:tc>
          <w:tcPr>
            <w:tcW w:w="1875"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HEIGHT</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5' 5"</w:t>
            </w:r>
          </w:p>
        </w:tc>
        <w:tc>
          <w:tcPr>
            <w:tcW w:w="1275"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5' 5"</w:t>
            </w:r>
          </w:p>
        </w:tc>
      </w:tr>
      <w:tr w:rsidR="00A65673" w:rsidRPr="0071124B" w:rsidTr="00594CB4">
        <w:tc>
          <w:tcPr>
            <w:tcW w:w="1875"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BMI</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30.79</w:t>
            </w:r>
          </w:p>
        </w:tc>
        <w:tc>
          <w:tcPr>
            <w:tcW w:w="1275"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31.62</w:t>
            </w:r>
          </w:p>
        </w:tc>
      </w:tr>
      <w:tr w:rsidR="00A65673" w:rsidRPr="0071124B" w:rsidTr="00594CB4">
        <w:tc>
          <w:tcPr>
            <w:tcW w:w="1875"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BSA</w:t>
            </w: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p>
        </w:tc>
        <w:tc>
          <w:tcPr>
            <w:tcW w:w="1380"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1.96</w:t>
            </w:r>
          </w:p>
        </w:tc>
        <w:tc>
          <w:tcPr>
            <w:tcW w:w="1275"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1.99</w:t>
            </w:r>
          </w:p>
        </w:tc>
      </w:tr>
    </w:tbl>
    <w:p w:rsidR="00A65673" w:rsidRDefault="00A65673" w:rsidP="00A65673">
      <w:pPr>
        <w:spacing w:after="0" w:line="240" w:lineRule="auto"/>
      </w:pPr>
    </w:p>
    <w:p w:rsidR="00A65673" w:rsidRPr="0071124B" w:rsidRDefault="00A65673" w:rsidP="00A65673">
      <w:pPr>
        <w:spacing w:after="0" w:line="240" w:lineRule="auto"/>
      </w:pPr>
      <w:r w:rsidRPr="0071124B">
        <w:t>Fasting Labs:</w:t>
      </w:r>
    </w:p>
    <w:tbl>
      <w:tblPr>
        <w:tblW w:w="0" w:type="auto"/>
        <w:tblInd w:w="-10" w:type="dxa"/>
        <w:tblLayout w:type="fixed"/>
        <w:tblCellMar>
          <w:left w:w="100" w:type="dxa"/>
          <w:right w:w="100" w:type="dxa"/>
        </w:tblCellMar>
        <w:tblLook w:val="0000" w:firstRow="0" w:lastRow="0" w:firstColumn="0" w:lastColumn="0" w:noHBand="0" w:noVBand="0"/>
      </w:tblPr>
      <w:tblGrid>
        <w:gridCol w:w="2122"/>
        <w:gridCol w:w="1561"/>
        <w:gridCol w:w="1561"/>
      </w:tblGrid>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p>
        </w:tc>
        <w:tc>
          <w:tcPr>
            <w:tcW w:w="1561"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0</w:t>
            </w:r>
            <w:r>
              <w:t>6</w:t>
            </w:r>
            <w:r w:rsidRPr="0071124B">
              <w:t>/</w:t>
            </w:r>
            <w:r>
              <w:t>21/</w:t>
            </w:r>
            <w:r w:rsidRPr="0071124B">
              <w:t>2019</w:t>
            </w:r>
          </w:p>
        </w:tc>
        <w:tc>
          <w:tcPr>
            <w:tcW w:w="1561"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0</w:t>
            </w:r>
            <w:r>
              <w:t>8</w:t>
            </w:r>
            <w:r w:rsidRPr="0071124B">
              <w:t>/</w:t>
            </w:r>
            <w:r>
              <w:t>7/</w:t>
            </w:r>
            <w:r w:rsidRPr="0071124B">
              <w:t>2019</w:t>
            </w:r>
          </w:p>
        </w:tc>
      </w:tr>
      <w:tr w:rsidR="00A65673" w:rsidRPr="0071124B" w:rsidTr="00594CB4">
        <w:trPr>
          <w:trHeight w:val="210"/>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HgA1c</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7.7%</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9.2%</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GLUCOSE, FASTING</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129</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213</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CREATININE</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3.5</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3.3</w:t>
            </w:r>
          </w:p>
        </w:tc>
      </w:tr>
      <w:tr w:rsidR="00A65673" w:rsidRPr="0071124B" w:rsidTr="00594CB4">
        <w:trPr>
          <w:trHeight w:val="210"/>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eGFR</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22</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24</w:t>
            </w:r>
          </w:p>
        </w:tc>
      </w:tr>
      <w:tr w:rsidR="00A65673" w:rsidRPr="0071124B" w:rsidTr="00594CB4">
        <w:trPr>
          <w:trHeight w:val="210"/>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SODIUM</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136</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137</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lastRenderedPageBreak/>
              <w:t>POTASSIUM</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5.1</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4.9</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CHLORIDE</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104</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101</w:t>
            </w:r>
          </w:p>
        </w:tc>
      </w:tr>
      <w:tr w:rsidR="00A65673" w:rsidRPr="0071124B" w:rsidTr="00594CB4">
        <w:trPr>
          <w:trHeight w:val="210"/>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CO2</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25</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25</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BUN</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45</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42</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MICROALBUMIN/CR</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189</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340.6</w:t>
            </w:r>
          </w:p>
        </w:tc>
      </w:tr>
      <w:tr w:rsidR="00A65673" w:rsidRPr="0071124B" w:rsidTr="00594CB4">
        <w:trPr>
          <w:trHeight w:val="210"/>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AST</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20</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22</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ALT</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19</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13</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TC</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233</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229</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LDL</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176</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159</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HDL</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33</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34</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TG</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122</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184</w:t>
            </w:r>
          </w:p>
        </w:tc>
      </w:tr>
      <w:tr w:rsidR="00A65673" w:rsidRPr="0071124B" w:rsidTr="00594CB4">
        <w:trPr>
          <w:trHeight w:val="224"/>
        </w:trPr>
        <w:tc>
          <w:tcPr>
            <w:tcW w:w="2122" w:type="dxa"/>
            <w:tcBorders>
              <w:top w:val="single" w:sz="8" w:space="0" w:color="C0C0C0"/>
              <w:left w:val="single" w:sz="8" w:space="0" w:color="C0C0C0"/>
              <w:bottom w:val="single" w:sz="8" w:space="0" w:color="C0C0C0"/>
              <w:right w:val="single" w:sz="8" w:space="0" w:color="C0C0C0"/>
            </w:tcBorders>
            <w:shd w:val="clear" w:color="auto" w:fill="ECE9D8"/>
          </w:tcPr>
          <w:p w:rsidR="00A65673" w:rsidRPr="0071124B" w:rsidRDefault="00A65673" w:rsidP="00594CB4">
            <w:pPr>
              <w:spacing w:after="0" w:line="240" w:lineRule="auto"/>
            </w:pPr>
            <w:r w:rsidRPr="0071124B">
              <w:t>VITAMIN D, 25-OH</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21</w:t>
            </w:r>
          </w:p>
        </w:tc>
        <w:tc>
          <w:tcPr>
            <w:tcW w:w="1561" w:type="dxa"/>
            <w:tcBorders>
              <w:top w:val="single" w:sz="8" w:space="0" w:color="C0C0C0"/>
              <w:left w:val="single" w:sz="8" w:space="0" w:color="C0C0C0"/>
              <w:bottom w:val="single" w:sz="8" w:space="0" w:color="C0C0C0"/>
              <w:right w:val="single" w:sz="8" w:space="0" w:color="C0C0C0"/>
            </w:tcBorders>
          </w:tcPr>
          <w:p w:rsidR="00A65673" w:rsidRPr="0071124B" w:rsidRDefault="00A65673" w:rsidP="00594CB4">
            <w:pPr>
              <w:spacing w:after="0" w:line="240" w:lineRule="auto"/>
            </w:pPr>
            <w:r w:rsidRPr="0071124B">
              <w:t>8</w:t>
            </w:r>
          </w:p>
        </w:tc>
      </w:tr>
    </w:tbl>
    <w:p w:rsidR="00A65673" w:rsidRPr="0071124B" w:rsidRDefault="00A65673" w:rsidP="00A65673">
      <w:pPr>
        <w:spacing w:after="0" w:line="240" w:lineRule="auto"/>
      </w:pPr>
    </w:p>
    <w:p w:rsidR="00A65673" w:rsidRPr="0071124B" w:rsidRDefault="00A65673" w:rsidP="00A65673">
      <w:pPr>
        <w:spacing w:after="0" w:line="240" w:lineRule="auto"/>
        <w:rPr>
          <w:u w:val="single"/>
        </w:rPr>
      </w:pPr>
      <w:r w:rsidRPr="0071124B">
        <w:rPr>
          <w:u w:val="single"/>
        </w:rPr>
        <w:t>Vaccination History</w:t>
      </w:r>
    </w:p>
    <w:p w:rsidR="00A65673" w:rsidRPr="0071124B" w:rsidRDefault="00A65673" w:rsidP="00A65673">
      <w:pPr>
        <w:spacing w:after="0" w:line="240" w:lineRule="auto"/>
      </w:pPr>
      <w:r w:rsidRPr="0071124B">
        <w:t>Hepatitis B Vaccine (</w:t>
      </w:r>
      <w:r>
        <w:t>Series c</w:t>
      </w:r>
      <w:r w:rsidRPr="0071124B">
        <w:t>ompleted 9/20/1996)</w:t>
      </w:r>
    </w:p>
    <w:p w:rsidR="00A65673" w:rsidRPr="0071124B" w:rsidRDefault="00A65673" w:rsidP="00A65673">
      <w:pPr>
        <w:spacing w:after="0" w:line="240" w:lineRule="auto"/>
      </w:pPr>
      <w:r w:rsidRPr="0071124B">
        <w:t>Pneumovax (</w:t>
      </w:r>
      <w:r>
        <w:t>Administered</w:t>
      </w:r>
      <w:r w:rsidRPr="0071124B">
        <w:t xml:space="preserve"> 3/10/2006)</w:t>
      </w:r>
    </w:p>
    <w:p w:rsidR="00A65673" w:rsidRPr="0071124B" w:rsidRDefault="00A65673" w:rsidP="00A65673">
      <w:pPr>
        <w:spacing w:after="0" w:line="240" w:lineRule="auto"/>
      </w:pPr>
    </w:p>
    <w:p w:rsidR="00A65673" w:rsidRPr="0071124B" w:rsidRDefault="00A65673" w:rsidP="00A65673">
      <w:pPr>
        <w:spacing w:after="0" w:line="240" w:lineRule="auto"/>
      </w:pPr>
      <w:r w:rsidRPr="0071124B">
        <w:t>Most recent visit to Optometrist/Ophthalmologist: 10/18/2017</w:t>
      </w:r>
    </w:p>
    <w:p w:rsidR="00A65673" w:rsidRPr="0071124B" w:rsidRDefault="00A65673" w:rsidP="00A65673">
      <w:pPr>
        <w:spacing w:after="0" w:line="240" w:lineRule="auto"/>
      </w:pPr>
      <w:r w:rsidRPr="0071124B">
        <w:t>Most recent visit to Podiatrist: 11/18/2017</w:t>
      </w:r>
    </w:p>
    <w:p w:rsidR="00A65673" w:rsidRPr="0071124B" w:rsidRDefault="00A65673" w:rsidP="00A65673">
      <w:pPr>
        <w:spacing w:after="0" w:line="240" w:lineRule="auto"/>
      </w:pPr>
    </w:p>
    <w:p w:rsidR="00A65673" w:rsidRPr="0071124B" w:rsidRDefault="00A65673" w:rsidP="00A65673">
      <w:pPr>
        <w:spacing w:after="0" w:line="240" w:lineRule="auto"/>
        <w:rPr>
          <w:u w:val="single"/>
        </w:rPr>
      </w:pPr>
      <w:r w:rsidRPr="0071124B">
        <w:rPr>
          <w:u w:val="single"/>
        </w:rPr>
        <w:t>Patient Reported Blood Sugar readings:</w:t>
      </w:r>
    </w:p>
    <w:tbl>
      <w:tblPr>
        <w:tblStyle w:val="TableGrid"/>
        <w:tblW w:w="0" w:type="auto"/>
        <w:tblInd w:w="607" w:type="dxa"/>
        <w:tblLook w:val="04A0" w:firstRow="1" w:lastRow="0" w:firstColumn="1" w:lastColumn="0" w:noHBand="0" w:noVBand="1"/>
      </w:tblPr>
      <w:tblGrid>
        <w:gridCol w:w="2525"/>
      </w:tblGrid>
      <w:tr w:rsidR="00A65673" w:rsidRPr="0071124B" w:rsidTr="00594CB4">
        <w:trPr>
          <w:trHeight w:val="261"/>
        </w:trPr>
        <w:tc>
          <w:tcPr>
            <w:tcW w:w="2525" w:type="dxa"/>
          </w:tcPr>
          <w:p w:rsidR="00A65673" w:rsidRPr="0071124B" w:rsidRDefault="00A65673" w:rsidP="00594CB4">
            <w:r w:rsidRPr="0071124B">
              <w:t>AC Breakfast</w:t>
            </w:r>
          </w:p>
        </w:tc>
      </w:tr>
      <w:tr w:rsidR="00A65673" w:rsidRPr="0071124B" w:rsidTr="00594CB4">
        <w:trPr>
          <w:trHeight w:val="247"/>
        </w:trPr>
        <w:tc>
          <w:tcPr>
            <w:tcW w:w="2525" w:type="dxa"/>
          </w:tcPr>
          <w:p w:rsidR="00A65673" w:rsidRPr="0071124B" w:rsidRDefault="00A65673" w:rsidP="00594CB4">
            <w:r w:rsidRPr="0071124B">
              <w:t>210</w:t>
            </w:r>
          </w:p>
        </w:tc>
      </w:tr>
      <w:tr w:rsidR="00A65673" w:rsidRPr="0071124B" w:rsidTr="00594CB4">
        <w:trPr>
          <w:trHeight w:val="261"/>
        </w:trPr>
        <w:tc>
          <w:tcPr>
            <w:tcW w:w="2525" w:type="dxa"/>
          </w:tcPr>
          <w:p w:rsidR="00A65673" w:rsidRPr="0071124B" w:rsidRDefault="00A65673" w:rsidP="00594CB4">
            <w:r w:rsidRPr="0071124B">
              <w:t>193</w:t>
            </w:r>
          </w:p>
        </w:tc>
      </w:tr>
      <w:tr w:rsidR="00A65673" w:rsidRPr="0071124B" w:rsidTr="00594CB4">
        <w:trPr>
          <w:trHeight w:val="247"/>
        </w:trPr>
        <w:tc>
          <w:tcPr>
            <w:tcW w:w="2525" w:type="dxa"/>
          </w:tcPr>
          <w:p w:rsidR="00A65673" w:rsidRPr="0071124B" w:rsidRDefault="00A65673" w:rsidP="00594CB4">
            <w:r w:rsidRPr="0071124B">
              <w:t>204</w:t>
            </w:r>
          </w:p>
        </w:tc>
      </w:tr>
      <w:tr w:rsidR="00A65673" w:rsidRPr="0071124B" w:rsidTr="00594CB4">
        <w:trPr>
          <w:trHeight w:val="261"/>
        </w:trPr>
        <w:tc>
          <w:tcPr>
            <w:tcW w:w="2525" w:type="dxa"/>
          </w:tcPr>
          <w:p w:rsidR="00A65673" w:rsidRPr="0071124B" w:rsidRDefault="00A65673" w:rsidP="00594CB4">
            <w:r w:rsidRPr="0071124B">
              <w:t>187</w:t>
            </w:r>
          </w:p>
        </w:tc>
      </w:tr>
    </w:tbl>
    <w:p w:rsidR="00926051" w:rsidRDefault="00514BE2" w:rsidP="00A65673"/>
    <w:sectPr w:rsidR="009260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B03" w:rsidRDefault="00D86B03" w:rsidP="00A65673">
      <w:pPr>
        <w:spacing w:after="0" w:line="240" w:lineRule="auto"/>
      </w:pPr>
      <w:r>
        <w:separator/>
      </w:r>
    </w:p>
  </w:endnote>
  <w:endnote w:type="continuationSeparator" w:id="0">
    <w:p w:rsidR="00D86B03" w:rsidRDefault="00D86B03" w:rsidP="00A6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73" w:rsidRDefault="00A65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73" w:rsidRDefault="00A65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73" w:rsidRDefault="00A6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B03" w:rsidRDefault="00D86B03" w:rsidP="00A65673">
      <w:pPr>
        <w:spacing w:after="0" w:line="240" w:lineRule="auto"/>
      </w:pPr>
      <w:r>
        <w:separator/>
      </w:r>
    </w:p>
  </w:footnote>
  <w:footnote w:type="continuationSeparator" w:id="0">
    <w:p w:rsidR="00D86B03" w:rsidRDefault="00D86B03" w:rsidP="00A65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73" w:rsidRDefault="00A65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73" w:rsidRDefault="00A65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673" w:rsidRDefault="00A65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448C1"/>
    <w:multiLevelType w:val="hybridMultilevel"/>
    <w:tmpl w:val="A21C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73"/>
    <w:rsid w:val="00250290"/>
    <w:rsid w:val="00480BD8"/>
    <w:rsid w:val="00514BE2"/>
    <w:rsid w:val="00A65673"/>
    <w:rsid w:val="00D86B03"/>
    <w:rsid w:val="00EB1170"/>
    <w:rsid w:val="00F2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D562"/>
  <w15:chartTrackingRefBased/>
  <w15:docId w15:val="{34557808-C83C-46E6-85CD-038A900D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673"/>
  </w:style>
  <w:style w:type="paragraph" w:styleId="Footer">
    <w:name w:val="footer"/>
    <w:basedOn w:val="Normal"/>
    <w:link w:val="FooterChar"/>
    <w:uiPriority w:val="99"/>
    <w:unhideWhenUsed/>
    <w:rsid w:val="00A65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73"/>
  </w:style>
  <w:style w:type="paragraph" w:styleId="ListParagraph">
    <w:name w:val="List Paragraph"/>
    <w:basedOn w:val="Normal"/>
    <w:uiPriority w:val="34"/>
    <w:qFormat/>
    <w:rsid w:val="00480BD8"/>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8984">
      <w:bodyDiv w:val="1"/>
      <w:marLeft w:val="0"/>
      <w:marRight w:val="0"/>
      <w:marTop w:val="0"/>
      <w:marBottom w:val="0"/>
      <w:divBdr>
        <w:top w:val="none" w:sz="0" w:space="0" w:color="auto"/>
        <w:left w:val="none" w:sz="0" w:space="0" w:color="auto"/>
        <w:bottom w:val="none" w:sz="0" w:space="0" w:color="auto"/>
        <w:right w:val="none" w:sz="0" w:space="0" w:color="auto"/>
      </w:divBdr>
    </w:div>
    <w:div w:id="8898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 Mullican</dc:creator>
  <cp:keywords/>
  <dc:description/>
  <cp:lastModifiedBy>Kristen M. Fink</cp:lastModifiedBy>
  <cp:revision>3</cp:revision>
  <dcterms:created xsi:type="dcterms:W3CDTF">2019-04-30T20:03:00Z</dcterms:created>
  <dcterms:modified xsi:type="dcterms:W3CDTF">2019-08-21T14:32:00Z</dcterms:modified>
</cp:coreProperties>
</file>